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2946A39A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B87DFE">
        <w:rPr>
          <w:b/>
          <w:bCs/>
          <w:color w:val="538135" w:themeColor="accent6" w:themeShade="BF"/>
          <w:sz w:val="52"/>
          <w:szCs w:val="52"/>
          <w:u w:val="single"/>
        </w:rPr>
        <w:t>STAR</w:t>
      </w:r>
      <w:r w:rsidR="00476F81">
        <w:rPr>
          <w:b/>
          <w:bCs/>
          <w:color w:val="538135" w:themeColor="accent6" w:themeShade="BF"/>
          <w:sz w:val="52"/>
          <w:szCs w:val="52"/>
          <w:u w:val="single"/>
        </w:rPr>
        <w:t>ŠÍ ŽÁCI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PO 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0A7A61BC" w:rsidR="00354B0C" w:rsidRPr="00115B4A" w:rsidRDefault="00FA3751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DOUDLEBY/RYCHNOV B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D63040">
        <w:rPr>
          <w:b/>
          <w:bCs/>
          <w:color w:val="002060"/>
          <w:sz w:val="32"/>
          <w:szCs w:val="32"/>
        </w:rPr>
        <w:t>16</w:t>
      </w:r>
      <w:r w:rsidR="00485DB8">
        <w:rPr>
          <w:b/>
          <w:bCs/>
          <w:color w:val="002060"/>
          <w:sz w:val="32"/>
          <w:szCs w:val="32"/>
        </w:rPr>
        <w:t>:</w:t>
      </w:r>
      <w:r w:rsidR="00D63040">
        <w:rPr>
          <w:b/>
          <w:bCs/>
          <w:color w:val="002060"/>
          <w:sz w:val="32"/>
          <w:szCs w:val="32"/>
        </w:rPr>
        <w:t>5</w:t>
      </w:r>
      <w:r w:rsidR="00485DB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92FE8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209F5C5F" w:rsidR="00354B0C" w:rsidRPr="00115B4A" w:rsidRDefault="00892FE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DD44E0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71475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071475">
        <w:rPr>
          <w:b/>
          <w:bCs/>
          <w:color w:val="002060"/>
          <w:sz w:val="32"/>
          <w:szCs w:val="32"/>
        </w:rPr>
        <w:t>7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31D4B4E0" w:rsidR="00354B0C" w:rsidRPr="00115B4A" w:rsidRDefault="005B73B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892FE8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92FE8">
        <w:rPr>
          <w:b/>
          <w:bCs/>
          <w:color w:val="002060"/>
          <w:sz w:val="32"/>
          <w:szCs w:val="32"/>
        </w:rPr>
        <w:t>9</w:t>
      </w:r>
      <w:r w:rsidR="00A53711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155CE6D3" w:rsidR="00354B0C" w:rsidRPr="00115B4A" w:rsidRDefault="00CB2F03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</w:t>
      </w:r>
      <w:r w:rsidR="007301EE">
        <w:rPr>
          <w:b/>
          <w:bCs/>
          <w:color w:val="002060"/>
          <w:sz w:val="32"/>
          <w:szCs w:val="32"/>
        </w:rPr>
        <w:t>ZIŘÍČÍ</w:t>
      </w:r>
      <w:r w:rsidR="007301EE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301EE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5DF8674A" w:rsidR="00354B0C" w:rsidRPr="00115B4A" w:rsidRDefault="00593EF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CB2F03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CB2F03">
        <w:rPr>
          <w:b/>
          <w:bCs/>
          <w:color w:val="002060"/>
          <w:sz w:val="32"/>
          <w:szCs w:val="32"/>
        </w:rPr>
        <w:t>14</w:t>
      </w:r>
      <w:r w:rsidR="00F04184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7851FF30" w:rsidR="00354B0C" w:rsidRPr="00593EF2" w:rsidRDefault="00354B0C" w:rsidP="00593EF2">
      <w:pPr>
        <w:ind w:left="-94" w:right="-510"/>
        <w:rPr>
          <w:b/>
          <w:bCs/>
          <w:color w:val="002060"/>
          <w:sz w:val="32"/>
          <w:szCs w:val="32"/>
        </w:rPr>
      </w:pPr>
    </w:p>
    <w:p w14:paraId="77FFCC41" w14:textId="3BAC09B3" w:rsidR="002145BD" w:rsidRPr="00E6546B" w:rsidRDefault="002145BD" w:rsidP="00E6546B">
      <w:pPr>
        <w:ind w:left="-94" w:right="-510"/>
        <w:rPr>
          <w:b/>
          <w:bCs/>
          <w:color w:val="002060"/>
          <w:sz w:val="32"/>
          <w:szCs w:val="32"/>
        </w:rPr>
      </w:pPr>
    </w:p>
    <w:sectPr w:rsidR="002145BD" w:rsidRPr="00E6546B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71475"/>
    <w:rsid w:val="00115B4A"/>
    <w:rsid w:val="001C1344"/>
    <w:rsid w:val="001F45EA"/>
    <w:rsid w:val="002145BD"/>
    <w:rsid w:val="002924B4"/>
    <w:rsid w:val="002A0F45"/>
    <w:rsid w:val="00354B0C"/>
    <w:rsid w:val="00385F95"/>
    <w:rsid w:val="003A5070"/>
    <w:rsid w:val="003C604C"/>
    <w:rsid w:val="003E7CFD"/>
    <w:rsid w:val="003F02B0"/>
    <w:rsid w:val="004067DD"/>
    <w:rsid w:val="0043021F"/>
    <w:rsid w:val="00461D0F"/>
    <w:rsid w:val="00465D74"/>
    <w:rsid w:val="00467271"/>
    <w:rsid w:val="00476F81"/>
    <w:rsid w:val="00485DB8"/>
    <w:rsid w:val="00493C10"/>
    <w:rsid w:val="00497A42"/>
    <w:rsid w:val="004D032D"/>
    <w:rsid w:val="00593EF2"/>
    <w:rsid w:val="005B73BF"/>
    <w:rsid w:val="005E01CE"/>
    <w:rsid w:val="005F4BF7"/>
    <w:rsid w:val="006D6D41"/>
    <w:rsid w:val="006F3B33"/>
    <w:rsid w:val="007301EE"/>
    <w:rsid w:val="0077317F"/>
    <w:rsid w:val="00775792"/>
    <w:rsid w:val="00793999"/>
    <w:rsid w:val="007A6ED7"/>
    <w:rsid w:val="007C7238"/>
    <w:rsid w:val="007C7929"/>
    <w:rsid w:val="007C7B14"/>
    <w:rsid w:val="00806C56"/>
    <w:rsid w:val="008476CC"/>
    <w:rsid w:val="00892FE8"/>
    <w:rsid w:val="008B31BA"/>
    <w:rsid w:val="008D35C9"/>
    <w:rsid w:val="00912AFE"/>
    <w:rsid w:val="00964D32"/>
    <w:rsid w:val="009C4864"/>
    <w:rsid w:val="009E3C5A"/>
    <w:rsid w:val="00A4750E"/>
    <w:rsid w:val="00A53711"/>
    <w:rsid w:val="00AD249F"/>
    <w:rsid w:val="00AE04CF"/>
    <w:rsid w:val="00B142CF"/>
    <w:rsid w:val="00B16A33"/>
    <w:rsid w:val="00B446E7"/>
    <w:rsid w:val="00B87DFE"/>
    <w:rsid w:val="00BE21CB"/>
    <w:rsid w:val="00BF1914"/>
    <w:rsid w:val="00C021A8"/>
    <w:rsid w:val="00C3569F"/>
    <w:rsid w:val="00CB2F03"/>
    <w:rsid w:val="00CB5210"/>
    <w:rsid w:val="00CE09BF"/>
    <w:rsid w:val="00D216F0"/>
    <w:rsid w:val="00D437E5"/>
    <w:rsid w:val="00D63040"/>
    <w:rsid w:val="00D93127"/>
    <w:rsid w:val="00DD44E0"/>
    <w:rsid w:val="00E20BAA"/>
    <w:rsid w:val="00E242C0"/>
    <w:rsid w:val="00E52E66"/>
    <w:rsid w:val="00E61F83"/>
    <w:rsid w:val="00E6546B"/>
    <w:rsid w:val="00E904A3"/>
    <w:rsid w:val="00EA1424"/>
    <w:rsid w:val="00EE2CCD"/>
    <w:rsid w:val="00F04184"/>
    <w:rsid w:val="00F04657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48</cp:revision>
  <dcterms:created xsi:type="dcterms:W3CDTF">2023-01-15T12:40:00Z</dcterms:created>
  <dcterms:modified xsi:type="dcterms:W3CDTF">2025-01-04T16:06:00Z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